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1D" w:rsidRPr="00F5021D" w:rsidRDefault="00F5021D" w:rsidP="00F502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r w:rsidRPr="00F5021D">
        <w:rPr>
          <w:rFonts w:ascii="Arial" w:eastAsia="Times New Roman" w:hAnsi="Arial" w:cs="Arial"/>
          <w:b/>
          <w:bCs/>
          <w:color w:val="030D58"/>
          <w:sz w:val="18"/>
          <w:szCs w:val="18"/>
          <w:lang w:eastAsia="ru-RU"/>
        </w:rPr>
        <w:t>Порядок приёмки геологической информации на постоянное хранение в ФГБУ «</w:t>
      </w:r>
      <w:proofErr w:type="spellStart"/>
      <w:r w:rsidRPr="00F5021D">
        <w:rPr>
          <w:rFonts w:ascii="Arial" w:eastAsia="Times New Roman" w:hAnsi="Arial" w:cs="Arial"/>
          <w:b/>
          <w:bCs/>
          <w:color w:val="030D58"/>
          <w:sz w:val="18"/>
          <w:szCs w:val="18"/>
          <w:lang w:eastAsia="ru-RU"/>
        </w:rPr>
        <w:t>Росгеолфонд</w:t>
      </w:r>
      <w:proofErr w:type="spellEnd"/>
      <w:r w:rsidRPr="00F5021D">
        <w:rPr>
          <w:rFonts w:ascii="Arial" w:eastAsia="Times New Roman" w:hAnsi="Arial" w:cs="Arial"/>
          <w:b/>
          <w:bCs/>
          <w:color w:val="030D58"/>
          <w:sz w:val="18"/>
          <w:szCs w:val="18"/>
          <w:lang w:eastAsia="ru-RU"/>
        </w:rPr>
        <w:t xml:space="preserve">» </w:t>
      </w:r>
    </w:p>
    <w:p w:rsidR="00F5021D" w:rsidRPr="00F5021D" w:rsidRDefault="00F5021D" w:rsidP="00F502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Под геологической информацией о недрах понимаются информация о геологическом строении недр, о находящихся в них полезных ископаемых (в том числе о специфических минеральных ресурсах, подземных водах), об условиях их разработки, иных качествах и особенностях недр (в том числе о подземных полостях естественного или искусственного (техногенного) происхождения), данные наблюдений, полученные при осуществлении предусмотренных настоящим Законом видов пользования недрами, при охране недр, при использовании отходов добычи полезных ископаемых и связанных с ней перерабатывающих производств, при осуществлении в соответствии с другими федеральными законами видов деятельности, связанных с геологическим изучением и добычей отдельных видов минерального сырья, захоронением радиоактивных отходов и токсичных веществ, и представленные на бумажном или электронном носителе либо на иных материальных носителях (в образцах горных пород, керна, пластовых жидкостей, флюидов и на иных материальных носителях первичной геологической информации о недрах).</w:t>
      </w:r>
    </w:p>
    <w:p w:rsidR="00F5021D" w:rsidRPr="00F5021D" w:rsidRDefault="00F5021D" w:rsidP="00F502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недрах.</w:t>
      </w:r>
    </w:p>
    <w:p w:rsidR="00F5021D" w:rsidRPr="00F5021D" w:rsidRDefault="00F5021D" w:rsidP="00F502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r w:rsidRPr="00F5021D">
        <w:rPr>
          <w:rFonts w:ascii="Arial" w:eastAsia="Times New Roman" w:hAnsi="Arial" w:cs="Arial"/>
          <w:b/>
          <w:bCs/>
          <w:color w:val="030D58"/>
          <w:sz w:val="18"/>
          <w:szCs w:val="18"/>
          <w:lang w:eastAsia="ru-RU"/>
        </w:rPr>
        <w:t>В соответствии со ст. 27 Закона РФ «О недрах» первичная геологическая информация о недрах и интерпретированная геологическая информация о недрах, полученные пользователем недр, подлежат представлению пользователем недр в федеральный фонд геологической информации (ФГБУ «</w:t>
      </w:r>
      <w:proofErr w:type="spellStart"/>
      <w:r w:rsidRPr="00F5021D">
        <w:rPr>
          <w:rFonts w:ascii="Arial" w:eastAsia="Times New Roman" w:hAnsi="Arial" w:cs="Arial"/>
          <w:b/>
          <w:bCs/>
          <w:color w:val="030D58"/>
          <w:sz w:val="18"/>
          <w:szCs w:val="18"/>
          <w:lang w:eastAsia="ru-RU"/>
        </w:rPr>
        <w:t>Росгеолфонд</w:t>
      </w:r>
      <w:proofErr w:type="spellEnd"/>
      <w:r w:rsidRPr="00F5021D">
        <w:rPr>
          <w:rFonts w:ascii="Arial" w:eastAsia="Times New Roman" w:hAnsi="Arial" w:cs="Arial"/>
          <w:b/>
          <w:bCs/>
          <w:color w:val="030D58"/>
          <w:sz w:val="18"/>
          <w:szCs w:val="18"/>
          <w:lang w:eastAsia="ru-RU"/>
        </w:rPr>
        <w:t>) и его территориальные фонды.</w:t>
      </w:r>
    </w:p>
    <w:p w:rsidR="00F5021D" w:rsidRPr="00F5021D" w:rsidRDefault="00F5021D" w:rsidP="00F5021D">
      <w:pPr>
        <w:spacing w:after="0" w:line="240" w:lineRule="auto"/>
        <w:ind w:left="720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Предоставлению в ФГБУ «</w:t>
      </w:r>
      <w:proofErr w:type="spellStart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Росгеолфонд</w:t>
      </w:r>
      <w:proofErr w:type="spellEnd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» подлежат: </w:t>
      </w:r>
    </w:p>
    <w:p w:rsidR="00F5021D" w:rsidRPr="00F5021D" w:rsidRDefault="00F5021D" w:rsidP="00F50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Интерпретированная геологическая информация о недрах: </w:t>
      </w:r>
    </w:p>
    <w:p w:rsidR="00F5021D" w:rsidRPr="00F5021D" w:rsidRDefault="00F5021D" w:rsidP="00F502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Отчёт</w:t>
      </w:r>
    </w:p>
    <w:p w:rsidR="00F5021D" w:rsidRPr="00F5021D" w:rsidRDefault="00F5021D" w:rsidP="00F502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hyperlink r:id="rId5" w:history="1">
        <w:r w:rsidRPr="00F5021D">
          <w:rPr>
            <w:rFonts w:ascii="Arial" w:eastAsia="Times New Roman" w:hAnsi="Arial" w:cs="Arial"/>
            <w:color w:val="0000CC"/>
            <w:sz w:val="18"/>
            <w:szCs w:val="18"/>
            <w:lang w:eastAsia="ru-RU"/>
          </w:rPr>
          <w:t>Карточки изученности</w:t>
        </w:r>
      </w:hyperlink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 </w:t>
      </w:r>
    </w:p>
    <w:p w:rsidR="00F5021D" w:rsidRPr="00F5021D" w:rsidRDefault="00F5021D" w:rsidP="00F502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Карточки буровых скважин на воду: </w:t>
      </w:r>
      <w:hyperlink r:id="rId6" w:history="1">
        <w:r w:rsidRPr="00F5021D">
          <w:rPr>
            <w:rFonts w:ascii="Arial" w:eastAsia="Times New Roman" w:hAnsi="Arial" w:cs="Arial"/>
            <w:color w:val="0000CC"/>
            <w:sz w:val="18"/>
            <w:szCs w:val="18"/>
            <w:lang w:eastAsia="ru-RU"/>
          </w:rPr>
          <w:t>Инструкция по составлению и пополнению кадастра подземных вод от 28.12.1964 г.</w:t>
        </w:r>
      </w:hyperlink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; </w:t>
      </w:r>
      <w:hyperlink r:id="rId7" w:history="1">
        <w:r w:rsidRPr="00F5021D">
          <w:rPr>
            <w:rFonts w:ascii="Arial" w:eastAsia="Times New Roman" w:hAnsi="Arial" w:cs="Arial"/>
            <w:color w:val="0000CC"/>
            <w:sz w:val="18"/>
            <w:szCs w:val="18"/>
            <w:lang w:eastAsia="ru-RU"/>
          </w:rPr>
          <w:t>Приказ Министерства геологии СССР № 281 от 02.06.1986 г.</w:t>
        </w:r>
      </w:hyperlink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; </w:t>
      </w:r>
      <w:hyperlink r:id="rId8" w:history="1">
        <w:r w:rsidRPr="00F5021D">
          <w:rPr>
            <w:rFonts w:ascii="Arial" w:eastAsia="Times New Roman" w:hAnsi="Arial" w:cs="Arial"/>
            <w:color w:val="0000CC"/>
            <w:sz w:val="18"/>
            <w:szCs w:val="18"/>
            <w:lang w:eastAsia="ru-RU"/>
          </w:rPr>
          <w:t>Приказ Минприроды России № 168 от 25.06.2009 г.</w:t>
        </w:r>
      </w:hyperlink>
    </w:p>
    <w:p w:rsidR="00F5021D" w:rsidRPr="00F5021D" w:rsidRDefault="00F5021D" w:rsidP="00F502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hyperlink r:id="rId9" w:history="1">
        <w:r w:rsidRPr="00F5021D">
          <w:rPr>
            <w:rFonts w:ascii="Arial" w:eastAsia="Times New Roman" w:hAnsi="Arial" w:cs="Arial"/>
            <w:color w:val="0000CC"/>
            <w:sz w:val="18"/>
            <w:szCs w:val="18"/>
            <w:lang w:eastAsia="ru-RU"/>
          </w:rPr>
          <w:t>Паспорта Государственного кадастра месторождений (ГКМ)</w:t>
        </w:r>
      </w:hyperlink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 </w:t>
      </w:r>
    </w:p>
    <w:p w:rsidR="00F5021D" w:rsidRPr="00F5021D" w:rsidRDefault="00F5021D" w:rsidP="00F502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Базы и банки данных, ГИС-проекты и т.п.</w:t>
      </w:r>
    </w:p>
    <w:p w:rsidR="00F5021D" w:rsidRPr="00F5021D" w:rsidRDefault="00F5021D" w:rsidP="00F50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Первичная геологическая информация о недрах и </w:t>
      </w:r>
      <w:hyperlink r:id="rId10" w:history="1">
        <w:r w:rsidRPr="00F5021D">
          <w:rPr>
            <w:rFonts w:ascii="Arial" w:eastAsia="Times New Roman" w:hAnsi="Arial" w:cs="Arial"/>
            <w:color w:val="0000CC"/>
            <w:sz w:val="18"/>
            <w:szCs w:val="18"/>
            <w:lang w:eastAsia="ru-RU"/>
          </w:rPr>
          <w:t>пояснительная записка</w:t>
        </w:r>
      </w:hyperlink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 к ней (</w:t>
      </w:r>
      <w:hyperlink r:id="rId11" w:history="1">
        <w:r w:rsidRPr="00F5021D">
          <w:rPr>
            <w:rFonts w:ascii="Arial" w:eastAsia="Times New Roman" w:hAnsi="Arial" w:cs="Arial"/>
            <w:color w:val="0000CC"/>
            <w:sz w:val="18"/>
            <w:szCs w:val="18"/>
            <w:lang w:eastAsia="ru-RU"/>
          </w:rPr>
          <w:t xml:space="preserve">пример заполнения </w:t>
        </w:r>
        <w:proofErr w:type="spellStart"/>
        <w:r w:rsidRPr="00F5021D">
          <w:rPr>
            <w:rFonts w:ascii="Arial" w:eastAsia="Times New Roman" w:hAnsi="Arial" w:cs="Arial"/>
            <w:color w:val="0000CC"/>
            <w:sz w:val="18"/>
            <w:szCs w:val="18"/>
            <w:lang w:eastAsia="ru-RU"/>
          </w:rPr>
          <w:t>поснительной</w:t>
        </w:r>
        <w:proofErr w:type="spellEnd"/>
        <w:r w:rsidRPr="00F5021D">
          <w:rPr>
            <w:rFonts w:ascii="Arial" w:eastAsia="Times New Roman" w:hAnsi="Arial" w:cs="Arial"/>
            <w:color w:val="0000CC"/>
            <w:sz w:val="18"/>
            <w:szCs w:val="18"/>
            <w:lang w:eastAsia="ru-RU"/>
          </w:rPr>
          <w:t xml:space="preserve"> записки</w:t>
        </w:r>
      </w:hyperlink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).</w:t>
      </w:r>
    </w:p>
    <w:p w:rsidR="00F5021D" w:rsidRPr="00F5021D" w:rsidRDefault="00F5021D" w:rsidP="00F502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r w:rsidRPr="00F5021D">
        <w:rPr>
          <w:rFonts w:ascii="Arial" w:eastAsia="Times New Roman" w:hAnsi="Arial" w:cs="Arial"/>
          <w:b/>
          <w:bCs/>
          <w:color w:val="030D58"/>
          <w:sz w:val="18"/>
          <w:szCs w:val="18"/>
          <w:lang w:eastAsia="ru-RU"/>
        </w:rPr>
        <w:t xml:space="preserve">Намерение </w:t>
      </w:r>
      <w:proofErr w:type="spellStart"/>
      <w:r w:rsidRPr="00F5021D">
        <w:rPr>
          <w:rFonts w:ascii="Arial" w:eastAsia="Times New Roman" w:hAnsi="Arial" w:cs="Arial"/>
          <w:b/>
          <w:bCs/>
          <w:color w:val="030D58"/>
          <w:sz w:val="18"/>
          <w:szCs w:val="18"/>
          <w:lang w:eastAsia="ru-RU"/>
        </w:rPr>
        <w:t>недропользователя</w:t>
      </w:r>
      <w:proofErr w:type="spellEnd"/>
      <w:r w:rsidRPr="00F5021D">
        <w:rPr>
          <w:rFonts w:ascii="Arial" w:eastAsia="Times New Roman" w:hAnsi="Arial" w:cs="Arial"/>
          <w:b/>
          <w:bCs/>
          <w:color w:val="030D58"/>
          <w:sz w:val="18"/>
          <w:szCs w:val="18"/>
          <w:lang w:eastAsia="ru-RU"/>
        </w:rPr>
        <w:t xml:space="preserve"> продолжать геологоразведочные работы на том же участке не делает отчёт по завершённому этапу «промежуточным» или «информационным» и не отменяет обязательное представление полноценного отчёта о результатах проведённых работ.</w:t>
      </w:r>
    </w:p>
    <w:p w:rsidR="00F5021D" w:rsidRPr="00F5021D" w:rsidRDefault="00F5021D" w:rsidP="00F502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При прекращении действия лицензии вне зависимости от причин этого или при прекращении или резком сокращении финансирования работ по </w:t>
      </w:r>
      <w:proofErr w:type="spellStart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госконтракту</w:t>
      </w:r>
      <w:proofErr w:type="spellEnd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 представлению подлежат информационные геологические отчеты по незавершенным геологическим заданиям.</w:t>
      </w:r>
    </w:p>
    <w:p w:rsidR="00F5021D" w:rsidRPr="00F5021D" w:rsidRDefault="00F5021D" w:rsidP="00F502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r w:rsidRPr="00F5021D">
        <w:rPr>
          <w:rFonts w:ascii="Arial" w:eastAsia="Times New Roman" w:hAnsi="Arial" w:cs="Arial"/>
          <w:b/>
          <w:bCs/>
          <w:color w:val="030D58"/>
          <w:sz w:val="18"/>
          <w:szCs w:val="18"/>
          <w:lang w:eastAsia="ru-RU"/>
        </w:rPr>
        <w:t xml:space="preserve">Отчёт должен быть оформлен и переплетён так, чтобы он выдержал активное архивное хранение в течение 300 лет. Способы оперативной полиграфии заведомо не удовлетворяют этому условию. </w:t>
      </w:r>
    </w:p>
    <w:p w:rsidR="00F5021D" w:rsidRPr="00F5021D" w:rsidRDefault="00F5021D" w:rsidP="00F502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В обязанности ФГБУ «</w:t>
      </w:r>
      <w:proofErr w:type="spellStart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Росгеолфонд</w:t>
      </w:r>
      <w:proofErr w:type="spellEnd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» входит проверка структуры, комплектности поставки и качества оформления поступающих на постоянное хранение отчетов в соответствии с действующими нормативными документами: </w:t>
      </w:r>
    </w:p>
    <w:p w:rsidR="00F5021D" w:rsidRPr="00F5021D" w:rsidRDefault="00F5021D" w:rsidP="00F502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hyperlink r:id="rId12" w:history="1">
        <w:r w:rsidRPr="00F5021D">
          <w:rPr>
            <w:rFonts w:ascii="Arial" w:eastAsia="Times New Roman" w:hAnsi="Arial" w:cs="Arial"/>
            <w:color w:val="0000CC"/>
            <w:sz w:val="18"/>
            <w:szCs w:val="18"/>
            <w:lang w:eastAsia="ru-RU"/>
          </w:rPr>
          <w:t>Приказ Минприроды России от 29.02.2016 № 54 "Об утверждении требований к содержанию геологической информации о недрах и формы ее представления"</w:t>
        </w:r>
      </w:hyperlink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;</w:t>
      </w:r>
    </w:p>
    <w:p w:rsidR="00F5021D" w:rsidRPr="00F5021D" w:rsidRDefault="00F5021D" w:rsidP="00F502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hyperlink r:id="rId13" w:history="1">
        <w:r w:rsidRPr="00F5021D">
          <w:rPr>
            <w:rFonts w:ascii="Arial" w:eastAsia="Times New Roman" w:hAnsi="Arial" w:cs="Arial"/>
            <w:color w:val="0000CC"/>
            <w:sz w:val="18"/>
            <w:szCs w:val="18"/>
            <w:lang w:eastAsia="ru-RU"/>
          </w:rPr>
          <w:t>ГОСТ 53579–2009</w:t>
        </w:r>
      </w:hyperlink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 - Отчет о геологическом изучении недр - общие требования к содержанию и оформлению;</w:t>
      </w:r>
    </w:p>
    <w:p w:rsidR="00F5021D" w:rsidRPr="00F5021D" w:rsidRDefault="00F5021D" w:rsidP="00F502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hyperlink r:id="rId14" w:history="1">
        <w:r w:rsidRPr="00F5021D">
          <w:rPr>
            <w:rFonts w:ascii="Arial" w:eastAsia="Times New Roman" w:hAnsi="Arial" w:cs="Arial"/>
            <w:color w:val="0000CC"/>
            <w:sz w:val="18"/>
            <w:szCs w:val="18"/>
            <w:lang w:eastAsia="ru-RU"/>
          </w:rPr>
          <w:t>Инструкция</w:t>
        </w:r>
      </w:hyperlink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 «О государственном учете результатов работ по геологическому изучению недр и о порядке хранения и пользования отчетными геологическими материалами» (утв. приказом </w:t>
      </w:r>
      <w:proofErr w:type="spellStart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Мингео</w:t>
      </w:r>
      <w:proofErr w:type="spellEnd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 СССР от 11.08.76 г.);</w:t>
      </w:r>
    </w:p>
    <w:p w:rsidR="00F5021D" w:rsidRPr="00F5021D" w:rsidRDefault="00F5021D" w:rsidP="00F502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hyperlink r:id="rId15" w:history="1">
        <w:r w:rsidRPr="00F5021D">
          <w:rPr>
            <w:rFonts w:ascii="Arial" w:eastAsia="Times New Roman" w:hAnsi="Arial" w:cs="Arial"/>
            <w:color w:val="0000CC"/>
            <w:sz w:val="18"/>
            <w:szCs w:val="18"/>
            <w:lang w:eastAsia="ru-RU"/>
          </w:rPr>
          <w:t xml:space="preserve">Письмо </w:t>
        </w:r>
        <w:proofErr w:type="spellStart"/>
        <w:r w:rsidRPr="00F5021D">
          <w:rPr>
            <w:rFonts w:ascii="Arial" w:eastAsia="Times New Roman" w:hAnsi="Arial" w:cs="Arial"/>
            <w:color w:val="0000CC"/>
            <w:sz w:val="18"/>
            <w:szCs w:val="18"/>
            <w:lang w:eastAsia="ru-RU"/>
          </w:rPr>
          <w:t>Роскомнедра</w:t>
        </w:r>
        <w:proofErr w:type="spellEnd"/>
      </w:hyperlink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 от 21.03.94 г. № ВЩ-61/627 «О представлении в </w:t>
      </w:r>
      <w:proofErr w:type="spellStart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Росгеолфонд</w:t>
      </w:r>
      <w:proofErr w:type="spellEnd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 и ТГФ отчетов по незаконченным работам»;</w:t>
      </w:r>
    </w:p>
    <w:p w:rsidR="00F5021D" w:rsidRPr="00F5021D" w:rsidRDefault="00F5021D" w:rsidP="00F502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hyperlink r:id="rId16" w:history="1">
        <w:r w:rsidRPr="00F5021D">
          <w:rPr>
            <w:rFonts w:ascii="Arial" w:eastAsia="Times New Roman" w:hAnsi="Arial" w:cs="Arial"/>
            <w:color w:val="0000CC"/>
            <w:sz w:val="18"/>
            <w:szCs w:val="18"/>
            <w:lang w:eastAsia="ru-RU"/>
          </w:rPr>
          <w:t xml:space="preserve">Требования </w:t>
        </w:r>
      </w:hyperlink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к составу и оформлению информационных отчетов по незавершенным геологическим </w:t>
      </w:r>
      <w:proofErr w:type="gramStart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заданиям(</w:t>
      </w:r>
      <w:proofErr w:type="gramEnd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приложение к письму ФГБУ </w:t>
      </w:r>
      <w:proofErr w:type="spellStart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Росгеолфонд</w:t>
      </w:r>
      <w:proofErr w:type="spellEnd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 от 05.06.02 г. № К-01/343).</w:t>
      </w:r>
    </w:p>
    <w:p w:rsidR="00F5021D" w:rsidRPr="00F5021D" w:rsidRDefault="00F5021D" w:rsidP="00F502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hyperlink r:id="rId17" w:history="1">
        <w:r w:rsidRPr="00F5021D">
          <w:rPr>
            <w:rFonts w:ascii="Arial" w:eastAsia="Times New Roman" w:hAnsi="Arial" w:cs="Arial"/>
            <w:color w:val="0000CC"/>
            <w:sz w:val="18"/>
            <w:szCs w:val="18"/>
            <w:lang w:eastAsia="ru-RU"/>
          </w:rPr>
          <w:t>Карточки изученности</w:t>
        </w:r>
      </w:hyperlink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 </w:t>
      </w:r>
    </w:p>
    <w:p w:rsidR="00F5021D" w:rsidRPr="00F5021D" w:rsidRDefault="00F5021D" w:rsidP="00F502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Карточки буровых скважин на воду: </w:t>
      </w:r>
      <w:hyperlink r:id="rId18" w:history="1">
        <w:r w:rsidRPr="00F5021D">
          <w:rPr>
            <w:rFonts w:ascii="Arial" w:eastAsia="Times New Roman" w:hAnsi="Arial" w:cs="Arial"/>
            <w:color w:val="0000CC"/>
            <w:sz w:val="18"/>
            <w:szCs w:val="18"/>
            <w:lang w:eastAsia="ru-RU"/>
          </w:rPr>
          <w:t>Инструкция по составлению и пополнению кадастра подземных вод от 28.12.1964 г.</w:t>
        </w:r>
      </w:hyperlink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; </w:t>
      </w:r>
      <w:hyperlink r:id="rId19" w:history="1">
        <w:r w:rsidRPr="00F5021D">
          <w:rPr>
            <w:rFonts w:ascii="Arial" w:eastAsia="Times New Roman" w:hAnsi="Arial" w:cs="Arial"/>
            <w:color w:val="0000CC"/>
            <w:sz w:val="18"/>
            <w:szCs w:val="18"/>
            <w:lang w:eastAsia="ru-RU"/>
          </w:rPr>
          <w:t>Приказ Министерства геологии СССР № 281 от 02.06.1986 г.</w:t>
        </w:r>
      </w:hyperlink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; </w:t>
      </w:r>
      <w:hyperlink r:id="rId20" w:history="1">
        <w:r w:rsidRPr="00F5021D">
          <w:rPr>
            <w:rFonts w:ascii="Arial" w:eastAsia="Times New Roman" w:hAnsi="Arial" w:cs="Arial"/>
            <w:color w:val="0000CC"/>
            <w:sz w:val="18"/>
            <w:szCs w:val="18"/>
            <w:lang w:eastAsia="ru-RU"/>
          </w:rPr>
          <w:t>Приказ Минприроды России № 168 от 25.06.2009 г.</w:t>
        </w:r>
      </w:hyperlink>
    </w:p>
    <w:p w:rsidR="00F5021D" w:rsidRPr="00F5021D" w:rsidRDefault="00F5021D" w:rsidP="00F502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hyperlink r:id="rId21" w:history="1">
        <w:r w:rsidRPr="00F5021D">
          <w:rPr>
            <w:rFonts w:ascii="Arial" w:eastAsia="Times New Roman" w:hAnsi="Arial" w:cs="Arial"/>
            <w:color w:val="0000CC"/>
            <w:sz w:val="18"/>
            <w:szCs w:val="18"/>
            <w:lang w:eastAsia="ru-RU"/>
          </w:rPr>
          <w:t>Паспорта Государственного кадастра месторождений (ГКМ)</w:t>
        </w:r>
      </w:hyperlink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 </w:t>
      </w:r>
    </w:p>
    <w:p w:rsidR="00F5021D" w:rsidRPr="00F5021D" w:rsidRDefault="00F5021D" w:rsidP="00F5021D">
      <w:pPr>
        <w:spacing w:after="0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К отчетам на бумажных носителях должна прилагаться электронная версия на съёмном машинном носителе (</w:t>
      </w:r>
      <w:hyperlink r:id="rId22" w:history="1">
        <w:r w:rsidRPr="00F5021D">
          <w:rPr>
            <w:rFonts w:ascii="Arial" w:eastAsia="Times New Roman" w:hAnsi="Arial" w:cs="Arial"/>
            <w:color w:val="0000CC"/>
            <w:sz w:val="18"/>
            <w:szCs w:val="18"/>
            <w:lang w:eastAsia="ru-RU"/>
          </w:rPr>
          <w:t>Методические рекомендации</w:t>
        </w:r>
      </w:hyperlink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 по учету, хранению и передаче фондовой информации на магнитных носителях; </w:t>
      </w:r>
      <w:hyperlink r:id="rId23" w:history="1">
        <w:r w:rsidRPr="00F5021D">
          <w:rPr>
            <w:rFonts w:ascii="Arial" w:eastAsia="Times New Roman" w:hAnsi="Arial" w:cs="Arial"/>
            <w:color w:val="0000CC"/>
            <w:sz w:val="18"/>
            <w:szCs w:val="18"/>
            <w:lang w:eastAsia="ru-RU"/>
          </w:rPr>
          <w:t>Рекомендуемые программные средства</w:t>
        </w:r>
      </w:hyperlink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).</w:t>
      </w:r>
    </w:p>
    <w:p w:rsidR="00F5021D" w:rsidRPr="00F5021D" w:rsidRDefault="00F5021D" w:rsidP="00F502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Бумажная и электронная версии отчётов проходят экспертизу на предмет наличия в них государственной тайны и правильности определения ограничительных грифов на основании действующих нормативных документов.</w:t>
      </w:r>
    </w:p>
    <w:p w:rsidR="00F5021D" w:rsidRPr="00F5021D" w:rsidRDefault="00F5021D" w:rsidP="00F502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r w:rsidRPr="00F5021D">
        <w:rPr>
          <w:rFonts w:ascii="Arial" w:eastAsia="Times New Roman" w:hAnsi="Arial" w:cs="Arial"/>
          <w:b/>
          <w:bCs/>
          <w:color w:val="030D58"/>
          <w:sz w:val="18"/>
          <w:szCs w:val="18"/>
          <w:lang w:eastAsia="ru-RU"/>
        </w:rPr>
        <w:t>Ограничительные грифы бумажной и электронной версий отчёта должны быть одинаковыми.</w:t>
      </w:r>
    </w:p>
    <w:p w:rsidR="00F5021D" w:rsidRPr="00F5021D" w:rsidRDefault="00F5021D" w:rsidP="00F502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Данные об отчетах вносятся в автоматизированную базу данных </w:t>
      </w:r>
      <w:hyperlink r:id="rId24" w:history="1">
        <w:r w:rsidRPr="00F5021D">
          <w:rPr>
            <w:rFonts w:ascii="Arial" w:eastAsia="Times New Roman" w:hAnsi="Arial" w:cs="Arial"/>
            <w:color w:val="0000CC"/>
            <w:sz w:val="18"/>
            <w:szCs w:val="18"/>
            <w:lang w:eastAsia="ru-RU"/>
          </w:rPr>
          <w:t>Электронный каталог</w:t>
        </w:r>
      </w:hyperlink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.</w:t>
      </w:r>
    </w:p>
    <w:p w:rsidR="00F5021D" w:rsidRPr="00F5021D" w:rsidRDefault="00F5021D" w:rsidP="00F502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По результатам рассмотрения отчёта в адрес той организации, на бланке которой было написано сопроводительное письмо к отчёту, высылается извещение установленной формы о принятии на постоянное хранение отчета, оформленного в соответствии с действующими нормативными документами, а на отчеты с замечаниями по комплектности, качеству оформления – извещение об отказе в принятии.</w:t>
      </w:r>
    </w:p>
    <w:p w:rsidR="00F5021D" w:rsidRPr="00F5021D" w:rsidRDefault="00F5021D" w:rsidP="00F502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Поставщик отчёта обязан исправить все обоснованные нормативными документами замечания приёмочной комиссии. Мелкие замечания исправляются силами </w:t>
      </w:r>
      <w:proofErr w:type="spellStart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Росгеолфонда</w:t>
      </w:r>
      <w:proofErr w:type="spellEnd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 на основании досылок недостающих или дефектных страниц текста или листов графики отчёта, многочисленные замечания могут потребовать замены соответствующей единицы хранения отчёта и всего машинного носителя.</w:t>
      </w:r>
    </w:p>
    <w:p w:rsidR="00F5021D" w:rsidRPr="00F5021D" w:rsidRDefault="00F5021D" w:rsidP="00F502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Досылки недостающих или подлежащих замене структурных элементов отчёта высылаются почтой и адресуются, как и сам отчёт, руководству </w:t>
      </w:r>
      <w:proofErr w:type="spellStart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Росгеолфонда</w:t>
      </w:r>
      <w:proofErr w:type="spellEnd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. Не рекомендуется вкладывать досылки в пакеты с другими документами.</w:t>
      </w:r>
    </w:p>
    <w:p w:rsidR="00F5021D" w:rsidRPr="00F5021D" w:rsidRDefault="00F5021D" w:rsidP="00F502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При подготовке машиночитаемых версий отчетов о геологическом изучении недр рекомендуется использовать программу </w:t>
      </w:r>
      <w:hyperlink r:id="rId25" w:tgtFrame="_blank" w:history="1">
        <w:r w:rsidRPr="00F5021D">
          <w:rPr>
            <w:rFonts w:ascii="Arial" w:eastAsia="Times New Roman" w:hAnsi="Arial" w:cs="Arial"/>
            <w:color w:val="0000CC"/>
            <w:sz w:val="18"/>
            <w:szCs w:val="18"/>
            <w:lang w:eastAsia="ru-RU"/>
          </w:rPr>
          <w:t>Редактор машиночитаемого геологического отчета.</w:t>
        </w:r>
      </w:hyperlink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 С помощью этой программы традиционная машиночитаемая версия дополняется XML-описанием по принятому стандарту (ГОСТ Р 53579-2009 и соответствующий файл XSD). Применение редактора обеспечивает: </w:t>
      </w:r>
    </w:p>
    <w:p w:rsidR="00F5021D" w:rsidRPr="00F5021D" w:rsidRDefault="00F5021D" w:rsidP="00F502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proofErr w:type="gramStart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автоматизированный</w:t>
      </w:r>
      <w:proofErr w:type="gramEnd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 контроль соответствия отчетов требованиям </w:t>
      </w:r>
      <w:hyperlink r:id="rId26" w:history="1">
        <w:r w:rsidRPr="00F5021D">
          <w:rPr>
            <w:rFonts w:ascii="Arial" w:eastAsia="Times New Roman" w:hAnsi="Arial" w:cs="Arial"/>
            <w:color w:val="0000CC"/>
            <w:sz w:val="18"/>
            <w:szCs w:val="18"/>
            <w:lang w:eastAsia="ru-RU"/>
          </w:rPr>
          <w:t>ГОСТ 53579–2009</w:t>
        </w:r>
      </w:hyperlink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;</w:t>
      </w:r>
    </w:p>
    <w:p w:rsidR="00F5021D" w:rsidRPr="00F5021D" w:rsidRDefault="00F5021D" w:rsidP="00F502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proofErr w:type="gramStart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возможность</w:t>
      </w:r>
      <w:proofErr w:type="gramEnd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 просмотра отчета на компьютере по ссылкам из пунктов сводного содержания и списков иллюстраций и таблиц;</w:t>
      </w:r>
    </w:p>
    <w:p w:rsidR="00F5021D" w:rsidRPr="00F5021D" w:rsidRDefault="00F5021D" w:rsidP="00F502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proofErr w:type="gramStart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возможность</w:t>
      </w:r>
      <w:proofErr w:type="gramEnd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 автоматизированного формирования печатной версии отчета.</w:t>
      </w:r>
    </w:p>
    <w:p w:rsidR="00F5021D" w:rsidRPr="00F5021D" w:rsidRDefault="00F5021D" w:rsidP="00F5021D">
      <w:pPr>
        <w:spacing w:after="0" w:line="240" w:lineRule="auto"/>
        <w:ind w:left="720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r w:rsidRPr="00F5021D">
        <w:rPr>
          <w:rFonts w:ascii="Arial" w:eastAsia="Times New Roman" w:hAnsi="Arial" w:cs="Arial"/>
          <w:b/>
          <w:bCs/>
          <w:color w:val="030D58"/>
          <w:sz w:val="18"/>
          <w:szCs w:val="18"/>
          <w:lang w:eastAsia="ru-RU"/>
        </w:rPr>
        <w:t>Телефоны для справок:</w:t>
      </w:r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 </w:t>
      </w:r>
    </w:p>
    <w:p w:rsidR="00F5021D" w:rsidRPr="00F5021D" w:rsidRDefault="00F5021D" w:rsidP="00F502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Информация о поступлении отчёта в </w:t>
      </w:r>
      <w:proofErr w:type="spellStart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Росгеолфонд</w:t>
      </w:r>
      <w:proofErr w:type="spellEnd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 – 8(499) 259 54 84 (Балакирева Татьяна Евгеньевна);</w:t>
      </w:r>
    </w:p>
    <w:p w:rsidR="00F5021D" w:rsidRPr="00F5021D" w:rsidRDefault="00F5021D" w:rsidP="00F502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Консультация по бумажной версии отчёта – 8(499) 259 54 84 (</w:t>
      </w:r>
      <w:proofErr w:type="spellStart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Жидкина</w:t>
      </w:r>
      <w:proofErr w:type="spellEnd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 Алла Евгеньевна);</w:t>
      </w:r>
    </w:p>
    <w:p w:rsidR="00F5021D" w:rsidRPr="00F5021D" w:rsidRDefault="00F5021D" w:rsidP="00F502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Консультация по электронной версии отчёта и ведомостям МНЗ – 8(499) 259 69 24 (Ермакова Елена Евгеньевна);</w:t>
      </w:r>
    </w:p>
    <w:p w:rsidR="00F5021D" w:rsidRPr="00F5021D" w:rsidRDefault="00F5021D" w:rsidP="00F502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Консультации по первичной геологической информации – 8 (499) 259 74 64 (Линьков Дмитрий Валерьевич);</w:t>
      </w:r>
    </w:p>
    <w:p w:rsidR="00F5021D" w:rsidRPr="00F5021D" w:rsidRDefault="00F5021D" w:rsidP="00F502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Вопросы по Извещениям – 8(499) 259 54 84 Ивлева Тамара Георгиевна;</w:t>
      </w:r>
    </w:p>
    <w:p w:rsidR="00F5021D" w:rsidRPr="00F5021D" w:rsidRDefault="00F5021D" w:rsidP="00F502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30D58"/>
          <w:sz w:val="18"/>
          <w:szCs w:val="18"/>
          <w:lang w:eastAsia="ru-RU"/>
        </w:rPr>
      </w:pPr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Вопросы по </w:t>
      </w:r>
      <w:proofErr w:type="spellStart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досыльным</w:t>
      </w:r>
      <w:proofErr w:type="spellEnd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 материалам – 8(499) 259 54 84 Аверьянова Людмила Егоровна;</w:t>
      </w:r>
    </w:p>
    <w:p w:rsidR="00CC2E03" w:rsidRDefault="00F5021D" w:rsidP="00F5021D"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Официальные справки об отсутствии задолженности организаций по предоставлению геологической информации – 8(499) 256 68 06 (Мерецкова Татьяна Фёдоровна) или 8(499) 259 74 64 (</w:t>
      </w:r>
      <w:proofErr w:type="spellStart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Касимова</w:t>
      </w:r>
      <w:proofErr w:type="spellEnd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 </w:t>
      </w:r>
      <w:proofErr w:type="spellStart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>Залина</w:t>
      </w:r>
      <w:proofErr w:type="spellEnd"/>
      <w:r w:rsidRPr="00F5021D">
        <w:rPr>
          <w:rFonts w:ascii="Arial" w:eastAsia="Times New Roman" w:hAnsi="Arial" w:cs="Arial"/>
          <w:color w:val="030D58"/>
          <w:sz w:val="18"/>
          <w:szCs w:val="18"/>
          <w:lang w:eastAsia="ru-RU"/>
        </w:rPr>
        <w:t xml:space="preserve"> Магомедовна).</w:t>
      </w:r>
      <w:bookmarkStart w:id="0" w:name="_GoBack"/>
      <w:bookmarkEnd w:id="0"/>
    </w:p>
    <w:sectPr w:rsidR="00CC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61FC"/>
    <w:multiLevelType w:val="multilevel"/>
    <w:tmpl w:val="B27A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666A1"/>
    <w:multiLevelType w:val="multilevel"/>
    <w:tmpl w:val="D0E4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51470D"/>
    <w:multiLevelType w:val="multilevel"/>
    <w:tmpl w:val="1190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74379"/>
    <w:multiLevelType w:val="multilevel"/>
    <w:tmpl w:val="6520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1D"/>
    <w:rsid w:val="000C11AE"/>
    <w:rsid w:val="00B226D7"/>
    <w:rsid w:val="00CC2E03"/>
    <w:rsid w:val="00F01B0D"/>
    <w:rsid w:val="00F5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CC3C7-880F-4AE8-AB49-02E18F72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2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0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gf.ru/bur/docs/prik_25062009.doc" TargetMode="External"/><Relationship Id="rId13" Type="http://schemas.openxmlformats.org/officeDocument/2006/relationships/hyperlink" Target="http://www.rfgf.ru/dokumenty/fondohranilishe/GOST53579_2009.pdf" TargetMode="External"/><Relationship Id="rId18" Type="http://schemas.openxmlformats.org/officeDocument/2006/relationships/hyperlink" Target="http://www.rfgf.ru/bur/docs/kadastr.doc" TargetMode="External"/><Relationship Id="rId26" Type="http://schemas.openxmlformats.org/officeDocument/2006/relationships/hyperlink" Target="http://www.rfgf.ru/dokumenty/fondohranilishe/GOST53579_2009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fgf.ru/4.htm" TargetMode="External"/><Relationship Id="rId7" Type="http://schemas.openxmlformats.org/officeDocument/2006/relationships/hyperlink" Target="http://www.rfgf.ru/bur/docs/prik_281.doc" TargetMode="External"/><Relationship Id="rId12" Type="http://schemas.openxmlformats.org/officeDocument/2006/relationships/hyperlink" Target="http://www.rfgf.ru/dokumenty/fondohranilishe/Prikaz%20MPR%20N54%2029.02.2016.rtf" TargetMode="External"/><Relationship Id="rId17" Type="http://schemas.openxmlformats.org/officeDocument/2006/relationships/hyperlink" Target="http://www.rfgf.ru/4.htm" TargetMode="External"/><Relationship Id="rId25" Type="http://schemas.openxmlformats.org/officeDocument/2006/relationships/hyperlink" Target="http://geol.irk.ru/downloads/editor/abou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fgf.ru/dokumenty/fondohranilishe/5.2.4%20Trebovaniya.doc" TargetMode="External"/><Relationship Id="rId20" Type="http://schemas.openxmlformats.org/officeDocument/2006/relationships/hyperlink" Target="http://www.rfgf.ru/bur/docs/prik_25062009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fgf.ru/bur/docs/kadastr.doc" TargetMode="External"/><Relationship Id="rId11" Type="http://schemas.openxmlformats.org/officeDocument/2006/relationships/hyperlink" Target="http://www.rfgf.ru/dokumenty/fondohranilishe/Pz%20Sample.xlsx" TargetMode="External"/><Relationship Id="rId24" Type="http://schemas.openxmlformats.org/officeDocument/2006/relationships/hyperlink" Target="http://www.rfgf.ru/catalog/index.php" TargetMode="External"/><Relationship Id="rId5" Type="http://schemas.openxmlformats.org/officeDocument/2006/relationships/hyperlink" Target="http://www.rfgf.ru/4.htm" TargetMode="External"/><Relationship Id="rId15" Type="http://schemas.openxmlformats.org/officeDocument/2006/relationships/hyperlink" Target="http://www.rfgf.ru/dokumenty/fondohranilishe/5.2.3.Pismo%20Roskomnedr.doc" TargetMode="External"/><Relationship Id="rId23" Type="http://schemas.openxmlformats.org/officeDocument/2006/relationships/hyperlink" Target="http://www.rfgf.ru/dokumenty/fondohranilishe/5.2.7%20Rrecomenduemie%20PS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rfgf.ru/dokumenty/fondohranilishe/Pz.xlsx" TargetMode="External"/><Relationship Id="rId19" Type="http://schemas.openxmlformats.org/officeDocument/2006/relationships/hyperlink" Target="http://www.rfgf.ru/bur/docs/prik_28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fgf.ru/4.htm" TargetMode="External"/><Relationship Id="rId14" Type="http://schemas.openxmlformats.org/officeDocument/2006/relationships/hyperlink" Target="http://www.rfgf.ru/dokumenty/fondohranilishe/5.2.2%20Instruczia.doc" TargetMode="External"/><Relationship Id="rId22" Type="http://schemas.openxmlformats.org/officeDocument/2006/relationships/hyperlink" Target="http://www.rfgf.ru/dokumenty/fondohranilishe/5.2.6%20Metod%20recomend.zi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Самкович А. Станиславовна</dc:creator>
  <cp:keywords/>
  <dc:description/>
  <cp:lastModifiedBy>Самкович А. Станиславовна</cp:lastModifiedBy>
  <cp:revision>1</cp:revision>
  <dcterms:created xsi:type="dcterms:W3CDTF">2016-11-23T09:49:00Z</dcterms:created>
  <dcterms:modified xsi:type="dcterms:W3CDTF">2016-11-23T09:50:00Z</dcterms:modified>
</cp:coreProperties>
</file>